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9"/>
        <w:gridCol w:w="3522"/>
        <w:gridCol w:w="4669"/>
      </w:tblGrid>
      <w:tr w:rsidR="00D80CBE">
        <w:trPr>
          <w:trHeight w:val="10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E7011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  <w:t>ΔΗΜΟΣΙΑ ΥΠΗΡΕΣΙΑ ΑΠΑΣΧΟΛΗΣΗΣ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/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E7011B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026F30E9">
                      <wp:simplePos x="0" y="0"/>
                      <wp:positionH relativeFrom="page">
                        <wp:posOffset>1440815</wp:posOffset>
                      </wp:positionH>
                      <wp:positionV relativeFrom="paragraph">
                        <wp:posOffset>160020</wp:posOffset>
                      </wp:positionV>
                      <wp:extent cx="1276350" cy="342900"/>
                      <wp:effectExtent l="0" t="0" r="19050" b="19050"/>
                      <wp:wrapNone/>
                      <wp:docPr id="1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80CBE" w:rsidRDefault="00E7011B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113.45pt;margin-top:12.6pt;width:100.5pt;height:27pt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vrIwIAAHUEAAAOAAAAZHJzL2Uyb0RvYy54bWysVM1uEzEQviPxDpbvZDcJhGaVTYWoygVB&#10;ReEBHK+dWPIftpPdnBHvwQsgxIEDf+obuK/E2NluW+BSxMUer+f7PPPNzC6OOyXRjjkvjK7xeFRi&#10;xDQ1jdDrGr95ffrgCCMfiG6INJrVeM88Pl7ev7dobcUmZmNkwxwCEu2r1tZ4E4KtisLTDVPEj4xl&#10;Gi65cYoEOLp10TjSAruSxaQsZ0VrXGOdocx7+HpyuMTLzM85o+El554FJGsMsYW8uryu0losF6Ra&#10;O2I3gvZhkH+IQhGh4dGB6oQEgrZO/EGlBHXGGx5G1KjCcC4oyzlANuPyt2zON8SynAuI4+0gk/9/&#10;tPTF7swh0UDtMNJEQYnih/g9fo6fLt/Fr/ECxW/xCxg/4sf4M15cvkeTJFprfQXYc3vm+pMHMynQ&#10;cafSDrmhLgu9H4RmXUAUPo4nj2fTR1APCnfTh5N5mStRXKOt8+EZMwolo8YOCpn1JbvnPsCL4Hrl&#10;kh7zRormVEiZD269eiod2pFU9HJ2NJ+lkAFyy01q1NZ4Pp2VmfnWXe4/NpCs1uO/MSgRWEofmKWG&#10;LYlykCFbYS9ZikfqV4yDxlmNHCDtIzw0IkwKSHHVjpkMAMmRQ0Z3xPaQhGa5/++IH0D5faPDgFdC&#10;G5dluJFdMkO36vomWJlmD/3UwkDV2L/dEpf6l1TaPNkGw0UuXcIcHHvNoLeziP0cpuG5ec5e13+L&#10;5S8AAAD//wMAUEsDBBQABgAIAAAAIQAsBNht4QAAAAkBAAAPAAAAZHJzL2Rvd25yZXYueG1sTI89&#10;T8MwEIZ3JP6DdUgsiDp1aUtDnKpCKgML0JaB7RpfPkRsR7GbBn49xwTbfTx677lsPdpWDNSHxjsN&#10;00kCglzhTeMqDYf99vYeRIjoDLbekYYvCrDOLy8yTI0/uzcadrESHOJCihrqGLtUylDUZDFMfEeO&#10;d6XvLUZu+0qaHs8cblupkmQhLTaOL9TY0WNNxefuZDWUH9N3fHm6Kbab7/18eH2eVeVhpvX11bh5&#10;ABFpjH8w/OqzOuTsdPQnZ4JoNSi1WDHKxVyBYOBOLXlw1LBcKZB5Jv9/kP8AAAD//wMAUEsBAi0A&#10;FAAGAAgAAAAhALaDOJL+AAAA4QEAABMAAAAAAAAAAAAAAAAAAAAAAFtDb250ZW50X1R5cGVzXS54&#10;bWxQSwECLQAUAAYACAAAACEAOP0h/9YAAACUAQAACwAAAAAAAAAAAAAAAAAvAQAAX3JlbHMvLnJl&#10;bHNQSwECLQAUAAYACAAAACEAoWwb6yMCAAB1BAAADgAAAAAAAAAAAAAAAAAuAgAAZHJzL2Uyb0Rv&#10;Yy54bWxQSwECLQAUAAYACAAAACEALATYbeEAAAAJAQAADwAAAAAAAAAAAAAAAAB9BAAAZHJzL2Rv&#10;d25yZXYueG1sUEsFBgAAAAAEAAQA8wAAAIsFAAAAAA==&#10;" fillcolor="#006896" strokecolor="white [3212]" strokeweight=".26mm">
                      <v:textbox>
                        <w:txbxContent>
                          <w:p w:rsidR="00D80CBE" w:rsidRDefault="00E7011B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Δελτίο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D80CBE" w:rsidRDefault="00D80CBE" w:rsidP="00192066">
            <w:pPr>
              <w:ind w:firstLine="720"/>
              <w:jc w:val="center"/>
            </w:pPr>
          </w:p>
        </w:tc>
      </w:tr>
      <w:tr w:rsidR="00D80CBE">
        <w:trPr>
          <w:trHeight w:val="3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E7011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3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</w:tr>
      <w:tr w:rsidR="00D80CBE">
        <w:trPr>
          <w:trHeight w:val="6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E7011B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80CBE" w:rsidRDefault="00E7011B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D80CBE" w:rsidRDefault="00E7011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192066" w:rsidRPr="007761B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192066" w:rsidRPr="007761B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</w:tr>
      <w:tr w:rsidR="00D80CBE">
        <w:trPr>
          <w:trHeight w:val="3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</w:tr>
      <w:tr w:rsidR="00D80CBE">
        <w:trPr>
          <w:trHeight w:val="34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jc w:val="center"/>
              <w:rPr>
                <w:rFonts w:ascii="Arial" w:hAnsi="Arial" w:cs="Arial"/>
                <w:b/>
                <w:bCs/>
                <w:color w:val="006896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CBE" w:rsidRDefault="00D80CBE">
            <w:pPr>
              <w:rPr>
                <w:sz w:val="16"/>
                <w:szCs w:val="16"/>
              </w:rPr>
            </w:pPr>
          </w:p>
        </w:tc>
      </w:tr>
    </w:tbl>
    <w:p w:rsidR="00D80CBE" w:rsidRDefault="00D80CB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80CBE" w:rsidRDefault="00D80CB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80CBE" w:rsidRDefault="00D80CBE">
      <w:pPr>
        <w:jc w:val="both"/>
        <w:rPr>
          <w:rFonts w:asciiTheme="minorHAnsi" w:hAnsiTheme="minorHAnsi" w:cstheme="minorHAnsi"/>
          <w:b/>
          <w:bCs/>
        </w:rPr>
      </w:pPr>
    </w:p>
    <w:p w:rsidR="00D80CBE" w:rsidRDefault="00E7011B" w:rsidP="00953A14">
      <w:pPr>
        <w:pStyle w:val="LO-normal1"/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b/>
          <w:bCs/>
          <w:color w:val="333333"/>
        </w:rPr>
        <w:t xml:space="preserve">Μέχρι τις 15 Μαΐου οι αιτήσεις παρόχων για συμμετοχή στον Α' κύκλο των νέων </w:t>
      </w:r>
      <w:r w:rsidR="00471706">
        <w:rPr>
          <w:rFonts w:ascii="Calibri" w:eastAsia="Times New Roman" w:hAnsi="Calibri" w:cs="Times New Roman"/>
          <w:b/>
          <w:bCs/>
          <w:color w:val="333333"/>
        </w:rPr>
        <w:t>π</w:t>
      </w:r>
      <w:r>
        <w:rPr>
          <w:rFonts w:ascii="Calibri" w:eastAsia="Times New Roman" w:hAnsi="Calibri" w:cs="Times New Roman"/>
          <w:b/>
          <w:bCs/>
          <w:color w:val="333333"/>
        </w:rPr>
        <w:t>ρογραμμάτων αναβάθμισης δεξιοτήτων και επανακατάρτισης σε κλάδους υψηλής ζήτησης με έμφαση στις ψηφιακές και πράσινες δεξιότητες</w:t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 xml:space="preserve">Την Κυριακή </w:t>
      </w:r>
      <w:r>
        <w:rPr>
          <w:rFonts w:ascii="Calibri" w:eastAsia="Times New Roman" w:hAnsi="Calibri" w:cs="Times New Roman"/>
          <w:b/>
          <w:bCs/>
          <w:color w:val="333333"/>
        </w:rPr>
        <w:t xml:space="preserve">15 </w:t>
      </w:r>
      <w:r w:rsidR="007761B1">
        <w:rPr>
          <w:rFonts w:ascii="Calibri" w:eastAsia="Times New Roman" w:hAnsi="Calibri" w:cs="Times New Roman"/>
          <w:b/>
          <w:bCs/>
          <w:color w:val="333333"/>
        </w:rPr>
        <w:t>Μαΐου</w:t>
      </w:r>
      <w:r>
        <w:rPr>
          <w:rFonts w:ascii="Calibri" w:eastAsia="Times New Roman" w:hAnsi="Calibri" w:cs="Times New Roman"/>
          <w:b/>
          <w:bCs/>
          <w:color w:val="333333"/>
        </w:rPr>
        <w:t xml:space="preserve"> 2022 </w:t>
      </w:r>
      <w:r>
        <w:rPr>
          <w:rFonts w:ascii="Calibri" w:eastAsia="Times New Roman" w:hAnsi="Calibri" w:cs="Times New Roman"/>
          <w:color w:val="333333"/>
        </w:rPr>
        <w:t xml:space="preserve">και ώρα 23:59 ολοκληρώνεται η διαδικασία υποβολής αιτήσεων και προβλεπόμενων δικαιολογητικών για ένταξη στα Μητρώα των Παρόχων </w:t>
      </w:r>
      <w:r w:rsidR="007761B1">
        <w:rPr>
          <w:rFonts w:ascii="Calibri" w:eastAsia="Times New Roman" w:hAnsi="Calibri" w:cs="Times New Roman"/>
          <w:color w:val="333333"/>
        </w:rPr>
        <w:t>Κατάρτισης</w:t>
      </w:r>
      <w:r>
        <w:rPr>
          <w:rFonts w:ascii="Calibri" w:eastAsia="Times New Roman" w:hAnsi="Calibri" w:cs="Times New Roman"/>
          <w:color w:val="333333"/>
        </w:rPr>
        <w:t xml:space="preserve"> στο πλαίσιο του έργου «Προγράμματα </w:t>
      </w:r>
      <w:r w:rsidR="00A04591">
        <w:rPr>
          <w:rFonts w:ascii="Calibri" w:eastAsia="Times New Roman" w:hAnsi="Calibri" w:cs="Times New Roman"/>
          <w:color w:val="333333"/>
        </w:rPr>
        <w:t>α</w:t>
      </w:r>
      <w:r>
        <w:rPr>
          <w:rFonts w:ascii="Calibri" w:eastAsia="Times New Roman" w:hAnsi="Calibri" w:cs="Times New Roman"/>
          <w:color w:val="333333"/>
        </w:rPr>
        <w:t>ναβάθμισης δεξιοτήτων και επανακατάρτισης σε κλάδους υψηλής ζήτησης με έμφαση στις ψηφιακές και πράσινες δεξιότητες».</w:t>
      </w:r>
    </w:p>
    <w:p w:rsidR="00192066" w:rsidRDefault="00E7011B" w:rsidP="00953A14">
      <w:pPr>
        <w:pStyle w:val="LO-normal1"/>
        <w:spacing w:line="276" w:lineRule="auto"/>
        <w:ind w:right="-341"/>
        <w:jc w:val="both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>Οι αιτήσεις θα αξιολογηθούν από επιτροπές και οι πάροχοι που πληρούν τους όρους και τις προϋποθέσεις, θα κληθούν να καταθέσουν προτεινόμενα προγράμματα κατάρτισης</w:t>
      </w:r>
      <w:r w:rsidR="00192066" w:rsidRPr="00192066">
        <w:rPr>
          <w:rFonts w:ascii="Calibri" w:eastAsia="Times New Roman" w:hAnsi="Calibri" w:cs="Times New Roman"/>
          <w:color w:val="333333"/>
        </w:rPr>
        <w:t>,</w:t>
      </w:r>
      <w:r>
        <w:rPr>
          <w:rFonts w:ascii="Calibri" w:eastAsia="Times New Roman" w:hAnsi="Calibri" w:cs="Times New Roman"/>
          <w:color w:val="333333"/>
        </w:rPr>
        <w:t xml:space="preserve"> στο πλαίσιο των προγραμμάτων αναβάθμισης δεξιοτήτων «νέας γενιάς» για 80.000 ανέργους, συνολικού προϋπολογισμού 100 εκ. </w:t>
      </w:r>
      <w:r w:rsidR="007761B1">
        <w:rPr>
          <w:rFonts w:ascii="Calibri" w:eastAsia="Times New Roman" w:hAnsi="Calibri" w:cs="Times New Roman"/>
          <w:color w:val="333333"/>
        </w:rPr>
        <w:t>ευρώ</w:t>
      </w:r>
      <w:r>
        <w:rPr>
          <w:rFonts w:ascii="Calibri" w:eastAsia="Times New Roman" w:hAnsi="Calibri" w:cs="Times New Roman"/>
          <w:color w:val="333333"/>
        </w:rPr>
        <w:t>, με χρηματοδότηση από</w:t>
      </w:r>
      <w:r w:rsidR="00192066" w:rsidRPr="00192066">
        <w:rPr>
          <w:rFonts w:ascii="Calibri" w:eastAsia="Times New Roman" w:hAnsi="Calibri" w:cs="Times New Roman"/>
          <w:color w:val="333333"/>
        </w:rPr>
        <w:t xml:space="preserve"> </w:t>
      </w:r>
      <w:r>
        <w:rPr>
          <w:rFonts w:ascii="Calibri" w:eastAsia="Times New Roman" w:hAnsi="Calibri" w:cs="Times New Roman"/>
          <w:color w:val="333333"/>
        </w:rPr>
        <w:t>το Ταμείο Ανάκαμψης και Ανασυγκρότησης.</w:t>
      </w:r>
    </w:p>
    <w:p w:rsidR="00D80CBE" w:rsidRPr="00192066" w:rsidRDefault="00E7011B" w:rsidP="00953A14">
      <w:pPr>
        <w:pStyle w:val="LO-normal1"/>
        <w:spacing w:line="276" w:lineRule="auto"/>
        <w:ind w:right="-341"/>
        <w:jc w:val="both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 xml:space="preserve">Οι αιτήσεις που θα υποβληθούν μετά την 15η </w:t>
      </w:r>
      <w:r w:rsidR="007761B1">
        <w:rPr>
          <w:rFonts w:ascii="Calibri" w:eastAsia="Times New Roman" w:hAnsi="Calibri" w:cs="Times New Roman"/>
          <w:color w:val="333333"/>
        </w:rPr>
        <w:t>Μαΐου</w:t>
      </w:r>
      <w:r>
        <w:rPr>
          <w:rFonts w:ascii="Calibri" w:eastAsia="Times New Roman" w:hAnsi="Calibri" w:cs="Times New Roman"/>
          <w:color w:val="333333"/>
        </w:rPr>
        <w:t xml:space="preserve"> 2022 θα αξιολογηθούν σε δεύτερη φάση.</w:t>
      </w:r>
    </w:p>
    <w:p w:rsidR="00D80CBE" w:rsidRDefault="00E7011B" w:rsidP="00953A14">
      <w:pPr>
        <w:pStyle w:val="LO-normal1"/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>Στόχος της δράσης είναι η αποτελεσματική διασύνδεση της κατάρτισης με τις ανάγκες της αγοράς εργασίας και η ενίσχυση της απασχολησιμότητας των ανέργων για την ταχύτερη εργασιακή επανένταξή τους.</w:t>
      </w:r>
    </w:p>
    <w:p w:rsidR="00654B7C" w:rsidRDefault="00E7011B" w:rsidP="00953A14">
      <w:pPr>
        <w:pStyle w:val="LO-normal1"/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>Υπενθυμίζεται ότι η δράση αφορά στην παροχή θεωρητικής κατάρτισης διάρκειας 50-200 ωρών σε 80.000 ανέργους ηλικίας άνω των 18 ετών, που θα οδηγεί σε απόκτηση ψηφιακών και «πράσινων» γνώσεων και δεξιοτήτων και αντίστοιχη πιστοποίηση μέσω ανεξάρτητων φορέων πιστοποίησης.</w:t>
      </w:r>
    </w:p>
    <w:p w:rsidR="00D80CBE" w:rsidRDefault="00E7011B" w:rsidP="00953A14">
      <w:pPr>
        <w:pStyle w:val="LO-normal1"/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000000"/>
        </w:rPr>
        <w:lastRenderedPageBreak/>
        <w:br/>
      </w:r>
      <w:r>
        <w:rPr>
          <w:rFonts w:ascii="Calibri" w:eastAsia="Times New Roman" w:hAnsi="Calibri" w:cs="Times New Roman"/>
          <w:color w:val="333333"/>
        </w:rPr>
        <w:t xml:space="preserve">Οι πάροχοι θα πρέπει να πληρούν συγκεκριμένα κριτήρια διασφάλισης ποιότητας, όπως ορίζουν οι δημόσιες προσκλήσεις, ενώ τα προγράμματα κατάρτισης κάθε μητρώου έχουν προϋπολογισμό 50 εκ. </w:t>
      </w:r>
      <w:r w:rsidR="007761B1">
        <w:rPr>
          <w:rFonts w:ascii="Calibri" w:eastAsia="Times New Roman" w:hAnsi="Calibri" w:cs="Times New Roman"/>
          <w:color w:val="333333"/>
        </w:rPr>
        <w:t>ε</w:t>
      </w:r>
      <w:r>
        <w:rPr>
          <w:rFonts w:ascii="Calibri" w:eastAsia="Times New Roman" w:hAnsi="Calibri" w:cs="Times New Roman"/>
          <w:color w:val="333333"/>
        </w:rPr>
        <w:t>υρώ.</w:t>
      </w:r>
    </w:p>
    <w:p w:rsidR="00953A14" w:rsidRDefault="00E7011B" w:rsidP="00953A14">
      <w:pPr>
        <w:pStyle w:val="LO-normal1"/>
        <w:spacing w:line="276" w:lineRule="auto"/>
        <w:ind w:right="-341"/>
        <w:jc w:val="both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000000"/>
        </w:rPr>
        <w:br/>
      </w:r>
      <w:r>
        <w:rPr>
          <w:rFonts w:ascii="Calibri" w:eastAsia="Times New Roman" w:hAnsi="Calibri" w:cs="Times New Roman"/>
          <w:color w:val="333333"/>
        </w:rPr>
        <w:t>Τα νέα προγράμματα σηματοδοτούν την αναβάθμιση της συνεχιζόμενης επαγγελματικής κατάρτισης των ανέργων, με στοχευμένες παρεμβάσεις σε όλη την διαδικασία και τους εμπλεκόμενους φορείς (πάροχοι κατάρτισης, πάροχοι πιστοποίησης, καταρτιζόμενοι, κλπ.).</w:t>
      </w:r>
      <w:r w:rsidR="00471706">
        <w:rPr>
          <w:rFonts w:ascii="Calibri" w:eastAsia="Times New Roman" w:hAnsi="Calibri" w:cs="Times New Roman"/>
          <w:color w:val="333333"/>
        </w:rPr>
        <w:t xml:space="preserve"> </w:t>
      </w:r>
      <w:r>
        <w:rPr>
          <w:rFonts w:ascii="Calibri" w:eastAsia="Times New Roman" w:hAnsi="Calibri" w:cs="Times New Roman"/>
          <w:color w:val="333333"/>
        </w:rPr>
        <w:t>Με τον τρόπο αυτό διασφαλίζονται ταυτόχρονα:</w:t>
      </w:r>
    </w:p>
    <w:p w:rsidR="00953A14" w:rsidRPr="00953A14" w:rsidRDefault="00E7011B" w:rsidP="00953A14">
      <w:pPr>
        <w:pStyle w:val="LO-normal1"/>
        <w:numPr>
          <w:ilvl w:val="0"/>
          <w:numId w:val="9"/>
        </w:numPr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333333"/>
        </w:rPr>
        <w:t>Ευρεία γκάμα προγραμμάτων κατάρτισης (συμπεριλαμβανομένων και προγραμμάτων μεγάλων εταιρειών πληροφορικής με μεγάλη ζήτηση στην αγορά εργασίας) με διασφάλιση της ποιότητας του περιεχομένου τους.</w:t>
      </w:r>
    </w:p>
    <w:p w:rsidR="00953A14" w:rsidRPr="00953A14" w:rsidRDefault="00E7011B" w:rsidP="00953A14">
      <w:pPr>
        <w:pStyle w:val="LO-normal1"/>
        <w:numPr>
          <w:ilvl w:val="0"/>
          <w:numId w:val="9"/>
        </w:numPr>
        <w:spacing w:line="276" w:lineRule="auto"/>
        <w:ind w:right="-341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color w:val="333333"/>
        </w:rPr>
        <w:t xml:space="preserve"> Ελεύθερη επιλογή από τον άνεργο του προγράμματος κατάρτισης, του χρόνου που θα το επιλέξει, του παρόχου κατάρτισης και του παρόχου πιστοποίησης.</w:t>
      </w:r>
    </w:p>
    <w:p w:rsidR="00D80CBE" w:rsidRPr="00953A14" w:rsidRDefault="00E7011B" w:rsidP="00953A14">
      <w:pPr>
        <w:pStyle w:val="LO-normal1"/>
        <w:numPr>
          <w:ilvl w:val="0"/>
          <w:numId w:val="9"/>
        </w:numPr>
        <w:spacing w:line="276" w:lineRule="auto"/>
        <w:ind w:right="-341"/>
        <w:jc w:val="both"/>
        <w:rPr>
          <w:rFonts w:ascii="Calibri" w:hAnsi="Calibri"/>
        </w:rPr>
      </w:pPr>
      <w:r w:rsidRPr="00953A14">
        <w:rPr>
          <w:rFonts w:ascii="Calibri" w:eastAsia="Times New Roman" w:hAnsi="Calibri" w:cs="Times New Roman"/>
          <w:color w:val="333333"/>
        </w:rPr>
        <w:t xml:space="preserve"> Ποιοτική αναβάθμιση των παρόχων κατάρτισης με την αύξηση των </w:t>
      </w:r>
      <w:proofErr w:type="spellStart"/>
      <w:r w:rsidRPr="00953A14">
        <w:rPr>
          <w:rFonts w:ascii="Calibri" w:eastAsia="Times New Roman" w:hAnsi="Calibri" w:cs="Times New Roman"/>
          <w:color w:val="333333"/>
        </w:rPr>
        <w:t>προαπαιτουμένων</w:t>
      </w:r>
      <w:proofErr w:type="spellEnd"/>
      <w:r w:rsidRPr="00953A14">
        <w:rPr>
          <w:rFonts w:ascii="Calibri" w:eastAsia="Times New Roman" w:hAnsi="Calibri" w:cs="Times New Roman"/>
          <w:color w:val="333333"/>
        </w:rPr>
        <w:t xml:space="preserve"> για τα ιδιωτικά ΚΔΒΜ και τη συμμετοχή και των ΚΕΔΙΒΙΜ τω</w:t>
      </w:r>
      <w:r w:rsidR="00953A14">
        <w:rPr>
          <w:rFonts w:ascii="Calibri" w:eastAsia="Times New Roman" w:hAnsi="Calibri" w:cs="Times New Roman"/>
          <w:color w:val="333333"/>
        </w:rPr>
        <w:t>ν</w:t>
      </w:r>
      <w:r w:rsidR="00953A14">
        <w:rPr>
          <w:rFonts w:ascii="Calibri" w:eastAsia="Times New Roman" w:hAnsi="Calibri" w:cs="Times New Roman"/>
          <w:color w:val="333333"/>
        </w:rPr>
        <w:tab/>
        <w:t>ΑΕΙ</w:t>
      </w:r>
      <w:r w:rsidRPr="00953A14">
        <w:rPr>
          <w:rFonts w:ascii="Calibri" w:eastAsia="Times New Roman" w:hAnsi="Calibri" w:cs="Times New Roman"/>
          <w:color w:val="333333"/>
        </w:rPr>
        <w:t>.</w:t>
      </w:r>
      <w:r w:rsidRPr="00953A14">
        <w:rPr>
          <w:rFonts w:ascii="Calibri" w:eastAsia="Times New Roman" w:hAnsi="Calibri" w:cs="Times New Roman"/>
          <w:color w:val="000000"/>
        </w:rPr>
        <w:br/>
      </w:r>
    </w:p>
    <w:sectPr w:rsidR="00D80CBE" w:rsidRPr="00953A14">
      <w:headerReference w:type="default" r:id="rId9"/>
      <w:footerReference w:type="default" r:id="rId10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7E" w:rsidRDefault="00025A7E">
      <w:r>
        <w:separator/>
      </w:r>
    </w:p>
  </w:endnote>
  <w:endnote w:type="continuationSeparator" w:id="0">
    <w:p w:rsidR="00025A7E" w:rsidRDefault="000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CBE" w:rsidRDefault="00E7011B">
    <w:pPr>
      <w:pStyle w:val="af0"/>
    </w:pPr>
    <w:r>
      <w:rPr>
        <w:noProof/>
      </w:rPr>
      <w:drawing>
        <wp:anchor distT="0" distB="0" distL="114300" distR="114300" simplePos="0" relativeHeight="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68" y="0"/>
              <wp:lineTo x="-68" y="20370"/>
              <wp:lineTo x="21423" y="20370"/>
              <wp:lineTo x="21423" y="0"/>
              <wp:lineTo x="-68" y="0"/>
            </wp:wrapPolygon>
          </wp:wrapTight>
          <wp:docPr id="6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3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0CBE" w:rsidRDefault="00E7011B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7E" w:rsidRDefault="00025A7E">
      <w:r>
        <w:separator/>
      </w:r>
    </w:p>
  </w:footnote>
  <w:footnote w:type="continuationSeparator" w:id="0">
    <w:p w:rsidR="00025A7E" w:rsidRDefault="0002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CBE" w:rsidRDefault="00E7011B">
    <w:pPr>
      <w:pStyle w:val="af1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482600</wp:posOffset>
          </wp:positionV>
          <wp:extent cx="7560310" cy="10692130"/>
          <wp:effectExtent l="0" t="0" r="0" b="0"/>
          <wp:wrapNone/>
          <wp:docPr id="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5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8A2"/>
    <w:multiLevelType w:val="hybridMultilevel"/>
    <w:tmpl w:val="E794A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2E8A"/>
    <w:multiLevelType w:val="hybridMultilevel"/>
    <w:tmpl w:val="492A5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E5DE4"/>
    <w:multiLevelType w:val="hybridMultilevel"/>
    <w:tmpl w:val="98986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28A5"/>
    <w:multiLevelType w:val="hybridMultilevel"/>
    <w:tmpl w:val="DEA4D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67EC6"/>
    <w:multiLevelType w:val="hybridMultilevel"/>
    <w:tmpl w:val="46FA4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8A3"/>
    <w:multiLevelType w:val="hybridMultilevel"/>
    <w:tmpl w:val="4094B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3442"/>
    <w:multiLevelType w:val="hybridMultilevel"/>
    <w:tmpl w:val="0512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A8A"/>
    <w:multiLevelType w:val="hybridMultilevel"/>
    <w:tmpl w:val="8DD6C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A1E81"/>
    <w:multiLevelType w:val="hybridMultilevel"/>
    <w:tmpl w:val="C922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E"/>
    <w:rsid w:val="00025A7E"/>
    <w:rsid w:val="00192066"/>
    <w:rsid w:val="00471706"/>
    <w:rsid w:val="00654B7C"/>
    <w:rsid w:val="007761B1"/>
    <w:rsid w:val="007F450E"/>
    <w:rsid w:val="00953A14"/>
    <w:rsid w:val="0097266F"/>
    <w:rsid w:val="00995657"/>
    <w:rsid w:val="009976B9"/>
    <w:rsid w:val="00A04591"/>
    <w:rsid w:val="00D80CBE"/>
    <w:rsid w:val="00E13F33"/>
    <w:rsid w:val="00E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9FE4"/>
  <w15:docId w15:val="{C1E4863B-5B25-4E02-B6D7-7D31070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ascii="Calibri" w:hAnsi="Calibri" w:cs="Wingdings"/>
      <w:sz w:val="24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ascii="Calibri" w:hAnsi="Calibri" w:cs="Wingdings"/>
      <w:sz w:val="24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paragraph" w:customStyle="1" w:styleId="LO-normal1">
    <w:name w:val="LO-normal1"/>
    <w:qFormat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710C-974B-42FC-BE9D-0F2CFDA3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A_P</cp:lastModifiedBy>
  <cp:revision>7</cp:revision>
  <cp:lastPrinted>2022-05-06T08:23:00Z</cp:lastPrinted>
  <dcterms:created xsi:type="dcterms:W3CDTF">2022-05-06T08:12:00Z</dcterms:created>
  <dcterms:modified xsi:type="dcterms:W3CDTF">2022-05-06T09:27:00Z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